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092" w:rsidRPr="0030606B" w:rsidRDefault="00F57092" w:rsidP="0030606B">
      <w:pPr>
        <w:spacing w:before="120" w:after="120"/>
        <w:jc w:val="center"/>
        <w:rPr>
          <w:rFonts w:ascii="Book Antiqua" w:hAnsi="Book Antiqua"/>
          <w:b/>
          <w:sz w:val="24"/>
          <w:szCs w:val="24"/>
        </w:rPr>
      </w:pPr>
      <w:bookmarkStart w:id="0" w:name="_GoBack"/>
      <w:r w:rsidRPr="0030606B">
        <w:rPr>
          <w:rFonts w:ascii="Book Antiqua" w:hAnsi="Book Antiqua"/>
          <w:b/>
          <w:sz w:val="24"/>
          <w:szCs w:val="24"/>
        </w:rPr>
        <w:t>How to Perform a “Close Reading” of a Case</w:t>
      </w:r>
    </w:p>
    <w:bookmarkEnd w:id="0"/>
    <w:p w:rsidR="000F7382" w:rsidRDefault="000F7382" w:rsidP="000F7382">
      <w:pPr>
        <w:pStyle w:val="ListParagraph"/>
        <w:numPr>
          <w:ilvl w:val="0"/>
          <w:numId w:val="1"/>
        </w:numPr>
        <w:spacing w:before="120" w:after="120"/>
        <w:ind w:left="0"/>
        <w:rPr>
          <w:rFonts w:ascii="Book Antiqua" w:hAnsi="Book Antiqua"/>
          <w:sz w:val="24"/>
          <w:szCs w:val="24"/>
        </w:rPr>
      </w:pPr>
      <w:r w:rsidRPr="009A5376">
        <w:rPr>
          <w:rFonts w:ascii="Book Antiqua" w:hAnsi="Book Antiqua"/>
          <w:sz w:val="24"/>
          <w:szCs w:val="24"/>
        </w:rPr>
        <w:t xml:space="preserve">To prepare a case brief, you must perform a “close reading of the case.” </w:t>
      </w:r>
    </w:p>
    <w:p w:rsidR="000F7382" w:rsidRDefault="000F7382" w:rsidP="000F7382">
      <w:pPr>
        <w:pStyle w:val="ListParagraph"/>
        <w:numPr>
          <w:ilvl w:val="0"/>
          <w:numId w:val="1"/>
        </w:numPr>
        <w:spacing w:before="120" w:after="120"/>
        <w:ind w:left="0"/>
        <w:rPr>
          <w:rFonts w:ascii="Book Antiqua" w:hAnsi="Book Antiqua"/>
          <w:sz w:val="24"/>
          <w:szCs w:val="24"/>
        </w:rPr>
      </w:pPr>
      <w:r>
        <w:rPr>
          <w:rFonts w:ascii="Book Antiqua" w:hAnsi="Book Antiqua"/>
          <w:sz w:val="24"/>
          <w:szCs w:val="24"/>
        </w:rPr>
        <w:t xml:space="preserve">A close reading is a slow-paced review of your case that may be performed in one or more sessions until the reading is completed. The purpose is to better understand the material and to take notes on the material so to preserve the important parts of the content for later reference. </w:t>
      </w:r>
    </w:p>
    <w:p w:rsidR="000F7382" w:rsidRDefault="000F7382" w:rsidP="000F7382">
      <w:pPr>
        <w:pStyle w:val="ListParagraph"/>
        <w:numPr>
          <w:ilvl w:val="0"/>
          <w:numId w:val="1"/>
        </w:numPr>
        <w:spacing w:before="120" w:after="120"/>
        <w:ind w:left="0"/>
        <w:rPr>
          <w:rFonts w:ascii="Book Antiqua" w:hAnsi="Book Antiqua"/>
          <w:sz w:val="24"/>
          <w:szCs w:val="24"/>
        </w:rPr>
      </w:pPr>
      <w:r w:rsidRPr="009A5376">
        <w:rPr>
          <w:rFonts w:ascii="Book Antiqua" w:hAnsi="Book Antiqua"/>
          <w:sz w:val="24"/>
          <w:szCs w:val="24"/>
        </w:rPr>
        <w:t xml:space="preserve">Make a copy of the case you will brief. This is your working copy for you to “annotate.” Annotating is a tool used for close reading—Annotating is simply taking notes in the margins and highlighting the key elements of the writing.  </w:t>
      </w:r>
    </w:p>
    <w:p w:rsidR="000F7382" w:rsidRDefault="000F7382" w:rsidP="000F7382">
      <w:pPr>
        <w:pStyle w:val="ListParagraph"/>
        <w:numPr>
          <w:ilvl w:val="0"/>
          <w:numId w:val="1"/>
        </w:numPr>
        <w:spacing w:before="120" w:after="120"/>
        <w:ind w:left="0"/>
        <w:rPr>
          <w:rFonts w:ascii="Book Antiqua" w:hAnsi="Book Antiqua"/>
          <w:sz w:val="24"/>
          <w:szCs w:val="24"/>
        </w:rPr>
      </w:pPr>
      <w:r w:rsidRPr="009A5376">
        <w:rPr>
          <w:rFonts w:ascii="Book Antiqua" w:hAnsi="Book Antiqua"/>
          <w:sz w:val="24"/>
          <w:szCs w:val="24"/>
        </w:rPr>
        <w:t xml:space="preserve">Often paralegals annotate cases noting the key components of the case so that later they can quickly compile those elements in their case brief.  </w:t>
      </w:r>
      <w:r>
        <w:rPr>
          <w:rFonts w:ascii="Book Antiqua" w:hAnsi="Book Antiqua"/>
          <w:sz w:val="24"/>
          <w:szCs w:val="24"/>
        </w:rPr>
        <w:t xml:space="preserve">That is, when reading a case, you may not find the information neatly grouped together but rather it could be spread throughout the case. For example, the Rules of Law could be in the beginning and then later in the case. </w:t>
      </w:r>
    </w:p>
    <w:p w:rsidR="000F7382" w:rsidRPr="009A5376" w:rsidRDefault="000F7382" w:rsidP="000F7382">
      <w:pPr>
        <w:pStyle w:val="ListParagraph"/>
        <w:numPr>
          <w:ilvl w:val="0"/>
          <w:numId w:val="1"/>
        </w:numPr>
        <w:spacing w:before="120" w:after="120"/>
        <w:ind w:left="0"/>
        <w:rPr>
          <w:rFonts w:ascii="Book Antiqua" w:hAnsi="Book Antiqua"/>
          <w:sz w:val="24"/>
          <w:szCs w:val="24"/>
        </w:rPr>
      </w:pPr>
      <w:r w:rsidRPr="009A5376">
        <w:rPr>
          <w:rFonts w:ascii="Book Antiqua" w:hAnsi="Book Antiqua"/>
          <w:sz w:val="24"/>
          <w:szCs w:val="24"/>
        </w:rPr>
        <w:t>Here are some common annotations (but you are free to do whatever works for you):</w:t>
      </w:r>
    </w:p>
    <w:p w:rsidR="000F7382" w:rsidRPr="009A5376" w:rsidRDefault="000F7382" w:rsidP="000F7382">
      <w:pPr>
        <w:pStyle w:val="ListParagraph"/>
        <w:numPr>
          <w:ilvl w:val="1"/>
          <w:numId w:val="1"/>
        </w:numPr>
        <w:spacing w:before="120" w:after="120"/>
        <w:ind w:left="0"/>
        <w:rPr>
          <w:rFonts w:ascii="Book Antiqua" w:hAnsi="Book Antiqua"/>
          <w:sz w:val="24"/>
          <w:szCs w:val="24"/>
        </w:rPr>
      </w:pPr>
      <w:r w:rsidRPr="009A5376">
        <w:rPr>
          <w:rFonts w:ascii="Book Antiqua" w:hAnsi="Book Antiqua"/>
          <w:sz w:val="24"/>
          <w:szCs w:val="24"/>
        </w:rPr>
        <w:t>Procedural History=PH</w:t>
      </w:r>
    </w:p>
    <w:p w:rsidR="000F7382" w:rsidRPr="009A5376" w:rsidRDefault="000F7382" w:rsidP="000F7382">
      <w:pPr>
        <w:pStyle w:val="ListParagraph"/>
        <w:numPr>
          <w:ilvl w:val="1"/>
          <w:numId w:val="1"/>
        </w:numPr>
        <w:spacing w:before="120" w:after="120"/>
        <w:ind w:left="0"/>
        <w:rPr>
          <w:rFonts w:ascii="Book Antiqua" w:hAnsi="Book Antiqua"/>
          <w:sz w:val="24"/>
          <w:szCs w:val="24"/>
        </w:rPr>
      </w:pPr>
      <w:r w:rsidRPr="009A5376">
        <w:rPr>
          <w:rFonts w:ascii="Book Antiqua" w:hAnsi="Book Antiqua"/>
          <w:sz w:val="24"/>
          <w:szCs w:val="24"/>
        </w:rPr>
        <w:t>Facts=F</w:t>
      </w:r>
    </w:p>
    <w:p w:rsidR="000F7382" w:rsidRPr="009A5376" w:rsidRDefault="000F7382" w:rsidP="000F7382">
      <w:pPr>
        <w:pStyle w:val="ListParagraph"/>
        <w:numPr>
          <w:ilvl w:val="1"/>
          <w:numId w:val="1"/>
        </w:numPr>
        <w:spacing w:before="120" w:after="120"/>
        <w:ind w:left="0"/>
        <w:rPr>
          <w:rFonts w:ascii="Book Antiqua" w:hAnsi="Book Antiqua"/>
          <w:sz w:val="24"/>
          <w:szCs w:val="24"/>
        </w:rPr>
      </w:pPr>
      <w:r w:rsidRPr="009A5376">
        <w:rPr>
          <w:rFonts w:ascii="Book Antiqua" w:hAnsi="Book Antiqua"/>
          <w:sz w:val="24"/>
          <w:szCs w:val="24"/>
        </w:rPr>
        <w:t>Issues=I</w:t>
      </w:r>
    </w:p>
    <w:p w:rsidR="000F7382" w:rsidRPr="009A5376" w:rsidRDefault="000F7382" w:rsidP="000F7382">
      <w:pPr>
        <w:pStyle w:val="ListParagraph"/>
        <w:numPr>
          <w:ilvl w:val="1"/>
          <w:numId w:val="1"/>
        </w:numPr>
        <w:spacing w:before="120" w:after="120"/>
        <w:ind w:left="0"/>
        <w:rPr>
          <w:rFonts w:ascii="Book Antiqua" w:hAnsi="Book Antiqua"/>
          <w:sz w:val="24"/>
          <w:szCs w:val="24"/>
        </w:rPr>
      </w:pPr>
      <w:r w:rsidRPr="009A5376">
        <w:rPr>
          <w:rFonts w:ascii="Book Antiqua" w:hAnsi="Book Antiqua"/>
          <w:sz w:val="24"/>
          <w:szCs w:val="24"/>
        </w:rPr>
        <w:t>Holding= H (I usually star or highlight the holding in a case.)</w:t>
      </w:r>
    </w:p>
    <w:p w:rsidR="000F7382" w:rsidRPr="009A5376" w:rsidRDefault="000F7382" w:rsidP="000F7382">
      <w:pPr>
        <w:pStyle w:val="ListParagraph"/>
        <w:numPr>
          <w:ilvl w:val="1"/>
          <w:numId w:val="1"/>
        </w:numPr>
        <w:spacing w:before="120" w:after="120"/>
        <w:ind w:left="0"/>
        <w:rPr>
          <w:rFonts w:ascii="Book Antiqua" w:hAnsi="Book Antiqua"/>
          <w:sz w:val="24"/>
          <w:szCs w:val="24"/>
        </w:rPr>
      </w:pPr>
      <w:r w:rsidRPr="009A5376">
        <w:rPr>
          <w:rFonts w:ascii="Book Antiqua" w:hAnsi="Book Antiqua"/>
          <w:sz w:val="24"/>
          <w:szCs w:val="24"/>
        </w:rPr>
        <w:t>Rules of Law=RL</w:t>
      </w:r>
    </w:p>
    <w:p w:rsidR="000F7382" w:rsidRPr="009A5376" w:rsidRDefault="000F7382" w:rsidP="000F7382">
      <w:pPr>
        <w:pStyle w:val="ListParagraph"/>
        <w:numPr>
          <w:ilvl w:val="1"/>
          <w:numId w:val="1"/>
        </w:numPr>
        <w:spacing w:before="120" w:after="120"/>
        <w:ind w:left="0"/>
        <w:rPr>
          <w:rFonts w:ascii="Book Antiqua" w:hAnsi="Book Antiqua"/>
          <w:sz w:val="24"/>
          <w:szCs w:val="24"/>
        </w:rPr>
      </w:pPr>
      <w:r w:rsidRPr="009A5376">
        <w:rPr>
          <w:rFonts w:ascii="Book Antiqua" w:hAnsi="Book Antiqua"/>
          <w:sz w:val="24"/>
          <w:szCs w:val="24"/>
        </w:rPr>
        <w:t>Analysis=A</w:t>
      </w:r>
    </w:p>
    <w:p w:rsidR="000F7382" w:rsidRPr="009A5376" w:rsidRDefault="000F7382" w:rsidP="000F7382">
      <w:pPr>
        <w:pStyle w:val="ListParagraph"/>
        <w:numPr>
          <w:ilvl w:val="1"/>
          <w:numId w:val="1"/>
        </w:numPr>
        <w:spacing w:before="120" w:after="120"/>
        <w:ind w:left="0"/>
        <w:rPr>
          <w:rFonts w:ascii="Book Antiqua" w:hAnsi="Book Antiqua"/>
          <w:sz w:val="24"/>
          <w:szCs w:val="24"/>
        </w:rPr>
      </w:pPr>
      <w:r w:rsidRPr="009A5376">
        <w:rPr>
          <w:rFonts w:ascii="Book Antiqua" w:hAnsi="Book Antiqua"/>
          <w:sz w:val="24"/>
          <w:szCs w:val="24"/>
        </w:rPr>
        <w:t>Conclusion=C</w:t>
      </w:r>
    </w:p>
    <w:p w:rsidR="000F7382" w:rsidRPr="009A5376" w:rsidRDefault="000F7382" w:rsidP="000F7382">
      <w:pPr>
        <w:pStyle w:val="ListParagraph"/>
        <w:numPr>
          <w:ilvl w:val="0"/>
          <w:numId w:val="1"/>
        </w:numPr>
        <w:spacing w:before="120" w:after="120"/>
        <w:ind w:left="0"/>
        <w:rPr>
          <w:rFonts w:ascii="Book Antiqua" w:hAnsi="Book Antiqua"/>
          <w:sz w:val="24"/>
          <w:szCs w:val="24"/>
        </w:rPr>
      </w:pPr>
      <w:r w:rsidRPr="009A5376">
        <w:rPr>
          <w:rFonts w:ascii="Book Antiqua" w:hAnsi="Book Antiqua"/>
          <w:sz w:val="24"/>
          <w:szCs w:val="24"/>
        </w:rPr>
        <w:t xml:space="preserve">The more you </w:t>
      </w:r>
      <w:proofErr w:type="gramStart"/>
      <w:r w:rsidRPr="009A5376">
        <w:rPr>
          <w:rFonts w:ascii="Book Antiqua" w:hAnsi="Book Antiqua"/>
          <w:sz w:val="24"/>
          <w:szCs w:val="24"/>
        </w:rPr>
        <w:t>practice,</w:t>
      </w:r>
      <w:proofErr w:type="gramEnd"/>
      <w:r w:rsidRPr="009A5376">
        <w:rPr>
          <w:rFonts w:ascii="Book Antiqua" w:hAnsi="Book Antiqua"/>
          <w:sz w:val="24"/>
          <w:szCs w:val="24"/>
        </w:rPr>
        <w:t xml:space="preserve"> these terms will become second nature to you. Don’t give up! This takes practice. </w:t>
      </w:r>
      <w:r>
        <w:rPr>
          <w:rFonts w:ascii="Book Antiqua" w:hAnsi="Book Antiqua"/>
          <w:sz w:val="24"/>
          <w:szCs w:val="24"/>
        </w:rPr>
        <w:t>Over time, you will become more and more efficient at briefing a case. There is not a better way to build your foundation of legal knowledge.</w:t>
      </w:r>
    </w:p>
    <w:p w:rsidR="006306D8" w:rsidRDefault="006306D8"/>
    <w:sectPr w:rsidR="006306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0746B"/>
    <w:multiLevelType w:val="hybridMultilevel"/>
    <w:tmpl w:val="0D76BC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382"/>
    <w:rsid w:val="000F7382"/>
    <w:rsid w:val="0030606B"/>
    <w:rsid w:val="006306D8"/>
    <w:rsid w:val="00F57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7382"/>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7382"/>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Susan</cp:lastModifiedBy>
  <cp:revision>3</cp:revision>
  <dcterms:created xsi:type="dcterms:W3CDTF">2019-03-18T10:42:00Z</dcterms:created>
  <dcterms:modified xsi:type="dcterms:W3CDTF">2019-03-18T10:53:00Z</dcterms:modified>
</cp:coreProperties>
</file>